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D5" w:rsidRDefault="00E17637" w:rsidP="00A44BD5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50"/>
          <w:szCs w:val="50"/>
        </w:rPr>
      </w:pPr>
      <w:r>
        <w:rPr>
          <w:rFonts w:ascii="Arial" w:eastAsia="Times New Roman" w:hAnsi="Arial" w:cs="Arial"/>
          <w:noProof/>
          <w:color w:val="000000"/>
          <w:sz w:val="50"/>
          <w:szCs w:val="50"/>
        </w:rPr>
        <w:drawing>
          <wp:inline distT="0" distB="0" distL="0" distR="0">
            <wp:extent cx="6644389" cy="1435395"/>
            <wp:effectExtent l="19050" t="0" r="4061" b="0"/>
            <wp:docPr id="3" name="2 Resim" descr="Res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37" w:rsidRDefault="00E17637" w:rsidP="00A44BD5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50"/>
          <w:szCs w:val="5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3"/>
        <w:gridCol w:w="6"/>
        <w:gridCol w:w="6"/>
      </w:tblGrid>
      <w:tr w:rsidR="00A44BD5" w:rsidRPr="00A44BD5" w:rsidTr="00A44B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637" w:rsidRPr="00E17637" w:rsidRDefault="00E17637" w:rsidP="00E17637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E17637">
              <w:rPr>
                <w:rFonts w:ascii="Arial" w:eastAsia="Times New Roman" w:hAnsi="Arial" w:cs="Arial"/>
                <w:color w:val="00B0F0"/>
                <w:sz w:val="50"/>
                <w:szCs w:val="50"/>
              </w:rPr>
              <w:t>Yeni bir dil öğrendik; “</w:t>
            </w:r>
            <w:r w:rsidR="00A44BD5" w:rsidRPr="00A44BD5">
              <w:rPr>
                <w:rFonts w:ascii="Arial" w:eastAsia="Times New Roman" w:hAnsi="Arial" w:cs="Arial"/>
                <w:color w:val="00B0F0"/>
                <w:sz w:val="50"/>
                <w:szCs w:val="50"/>
              </w:rPr>
              <w:t>OYUNCA</w:t>
            </w:r>
            <w:r w:rsidRPr="00E17637">
              <w:rPr>
                <w:rFonts w:ascii="Arial" w:eastAsia="Times New Roman" w:hAnsi="Arial" w:cs="Arial"/>
                <w:color w:val="00B0F0"/>
                <w:sz w:val="50"/>
                <w:szCs w:val="50"/>
              </w:rPr>
              <w:t>”</w:t>
            </w:r>
            <w:r w:rsidR="00A44BD5" w:rsidRPr="00A44BD5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 </w:t>
            </w:r>
          </w:p>
          <w:p w:rsidR="00A44BD5" w:rsidRPr="00A44BD5" w:rsidRDefault="00A44BD5" w:rsidP="00E17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B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BD5" w:rsidRPr="00A44BD5" w:rsidRDefault="00A44BD5" w:rsidP="00A44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BD5" w:rsidRPr="00A44BD5" w:rsidRDefault="00A44BD5" w:rsidP="00A44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44BD5" w:rsidRPr="00A44BD5" w:rsidRDefault="00E17637" w:rsidP="00E17637">
      <w:pPr>
        <w:spacing w:after="167" w:line="240" w:lineRule="auto"/>
        <w:ind w:firstLine="708"/>
        <w:jc w:val="both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E17637">
        <w:rPr>
          <w:rFonts w:ascii="Arial" w:eastAsia="Times New Roman" w:hAnsi="Arial" w:cs="Arial"/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3659505" cy="2434590"/>
            <wp:effectExtent l="19050" t="0" r="0" b="0"/>
            <wp:wrapTight wrapText="bothSides">
              <wp:wrapPolygon edited="0">
                <wp:start x="-112" y="0"/>
                <wp:lineTo x="-112" y="21465"/>
                <wp:lineTo x="21589" y="21465"/>
                <wp:lineTo x="21589" y="0"/>
                <wp:lineTo x="-112" y="0"/>
              </wp:wrapPolygon>
            </wp:wrapTight>
            <wp:docPr id="1" name="Resim 1" descr="Güney Ege Kalkınma Ajansı(GEKA) desteğiyle, Efeler İlçe Milli Eğitim Müdürlüğü tarafından organize edilen ve Efeler ilçesi Zübeyde Hanım Anaokulu ve Hacı Kadriye Arslan RAM işbirliği ile gerçekleştirilen Rehber Öğretmenlere &quot;Oyun Terapisi Eğitimi&quot; sona erdi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üney Ege Kalkınma Ajansı(GEKA) desteğiyle, Efeler İlçe Milli Eğitim Müdürlüğü tarafından organize edilen ve Efeler ilçesi Zübeyde Hanım Anaokulu ve Hacı Kadriye Arslan RAM işbirliği ile gerçekleştirilen Rehber Öğretmenlere &quot;Oyun Terapisi Eğitimi&quot; sona erdi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Güney Ege Kalkınma Ajansı</w:t>
      </w:r>
      <w:r>
        <w:rPr>
          <w:rFonts w:ascii="Verdana" w:eastAsia="Times New Roman" w:hAnsi="Verdana" w:cs="Times New Roman"/>
          <w:color w:val="002060"/>
          <w:sz w:val="20"/>
          <w:szCs w:val="20"/>
        </w:rPr>
        <w:t xml:space="preserve"> </w:t>
      </w:r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(GEKA) desteğiyle, Efeler İlçe Milli Eğitim Müdürlüğü tarafından organize edilen ve Efeler ilçesi Zübeyde Hanım Anaokulu ve Hacı </w:t>
      </w:r>
      <w:proofErr w:type="spellStart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Kadriye</w:t>
      </w:r>
      <w:proofErr w:type="spellEnd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</w:t>
      </w:r>
      <w:proofErr w:type="spellStart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Arslan</w:t>
      </w:r>
      <w:proofErr w:type="spellEnd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RAM işbirliği ile gerçekleştirilen Rehber Öğretmenlere "Oyun Terapisi Eğitimi" sona erdi.</w:t>
      </w:r>
    </w:p>
    <w:p w:rsidR="00A44BD5" w:rsidRPr="00A44BD5" w:rsidRDefault="00A44BD5" w:rsidP="00E176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Klinik Psikolog, Pedagog Mehmet Teber tarafından gerçekleştirilen eğitim çalışması, katılımcıların hem dışındaki çocukları hem de içlerindeki çocuğu anlama yolunda rehber öğretmenlere </w:t>
      </w:r>
      <w:proofErr w:type="spellStart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>farkındalık</w:t>
      </w:r>
      <w:proofErr w:type="spellEnd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ve </w:t>
      </w:r>
      <w:proofErr w:type="spellStart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>içgörü</w:t>
      </w:r>
      <w:proofErr w:type="spellEnd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kazandırdı.</w:t>
      </w:r>
    </w:p>
    <w:p w:rsidR="00E17637" w:rsidRDefault="00E17637" w:rsidP="00E176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2060"/>
          <w:sz w:val="20"/>
          <w:szCs w:val="20"/>
        </w:rPr>
      </w:pPr>
    </w:p>
    <w:p w:rsidR="00A44BD5" w:rsidRPr="00A44BD5" w:rsidRDefault="00A44BD5" w:rsidP="00E176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A44BD5">
        <w:rPr>
          <w:rFonts w:ascii="Verdana" w:eastAsia="Times New Roman" w:hAnsi="Verdana" w:cs="Times New Roman"/>
          <w:b/>
          <w:color w:val="002060"/>
          <w:sz w:val="20"/>
          <w:szCs w:val="20"/>
        </w:rPr>
        <w:t>OYUN TERAPİSİ NEDİR?</w:t>
      </w:r>
    </w:p>
    <w:p w:rsidR="00A44BD5" w:rsidRPr="00A44BD5" w:rsidRDefault="00A44BD5" w:rsidP="00E176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Oyun; çocuğun iç dünya ile dış dünya arasında yolculuk yaparken kendini bulma sürecidir. Çocuk oyunda öğrenirken diğer yandan da kendini ifade etme olanağı bulur. Dil ile kendini yeterince ifade edemeyen çocuk, </w:t>
      </w:r>
      <w:proofErr w:type="spellStart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>yaşantıladığı</w:t>
      </w:r>
      <w:proofErr w:type="spellEnd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olayları oyuna yansıtmaktadır. Oyunda çocuğun hayatının bir bölümünü görürüz. Hayatının herhangi bölümünü oyun ve oyuncaklarla anlatan çocuk, bazen çözümleyemediği olaylar olduğunda aynı oyunu tekrar </w:t>
      </w:r>
      <w:proofErr w:type="spellStart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>tekrar</w:t>
      </w:r>
      <w:proofErr w:type="spellEnd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oynayabilir.</w:t>
      </w:r>
    </w:p>
    <w:p w:rsidR="00A44BD5" w:rsidRPr="00A44BD5" w:rsidRDefault="00A44BD5" w:rsidP="00E176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2060"/>
          <w:sz w:val="20"/>
          <w:szCs w:val="20"/>
        </w:rPr>
      </w:pPr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Deneyimsel oyun </w:t>
      </w:r>
      <w:proofErr w:type="gramStart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>terapisinde</w:t>
      </w:r>
      <w:proofErr w:type="gramEnd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çocuk oyunla bütünleşmektedir. Terapinin amacı; çocuğun kendini duygusal olarak iyi hissetmesini sağlamak; davranışsal, bilişsel süreçlerinde ortaya çıkabilecek aksaklıklara engel olmak ve </w:t>
      </w:r>
      <w:proofErr w:type="spellStart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>deneyimlediği</w:t>
      </w:r>
      <w:proofErr w:type="spellEnd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olumsuz olayları çözümlemesine yardım etmektir. Oyun </w:t>
      </w:r>
      <w:proofErr w:type="gramStart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>terapisinde</w:t>
      </w:r>
      <w:proofErr w:type="gramEnd"/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ağırlıklı 2-12 yaş aralığı çocuklarla çalışılmakla birlikte ergen ve yetişkinlerle de çalışılabilmektedir.</w:t>
      </w:r>
    </w:p>
    <w:p w:rsidR="00A44BD5" w:rsidRPr="00A44BD5" w:rsidRDefault="00A44BD5" w:rsidP="00E176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A44BD5">
        <w:rPr>
          <w:rFonts w:ascii="Verdana" w:eastAsia="Times New Roman" w:hAnsi="Verdana" w:cs="Times New Roman"/>
          <w:b/>
          <w:color w:val="002060"/>
          <w:sz w:val="20"/>
          <w:szCs w:val="20"/>
        </w:rPr>
        <w:t>Oyun Terapisinin Etkili Olabileceği Psikolojik Problemler:</w:t>
      </w:r>
    </w:p>
    <w:p w:rsidR="00A44BD5" w:rsidRPr="00A44BD5" w:rsidRDefault="00E17637" w:rsidP="00E17637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206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697865</wp:posOffset>
            </wp:positionV>
            <wp:extent cx="2978785" cy="2243455"/>
            <wp:effectExtent l="19050" t="0" r="0" b="0"/>
            <wp:wrapTight wrapText="bothSides">
              <wp:wrapPolygon edited="0">
                <wp:start x="-138" y="0"/>
                <wp:lineTo x="-138" y="21459"/>
                <wp:lineTo x="21549" y="21459"/>
                <wp:lineTo x="21549" y="0"/>
                <wp:lineTo x="-138" y="0"/>
              </wp:wrapPolygon>
            </wp:wrapTight>
            <wp:docPr id="4" name="3 Resim" descr="20150623_10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23_1057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Kaygılar, Korkular ve diğer </w:t>
      </w:r>
      <w:proofErr w:type="spellStart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Anksiyete</w:t>
      </w:r>
      <w:proofErr w:type="spellEnd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Sorunları, Çocukluk Depresyonu, </w:t>
      </w:r>
      <w:proofErr w:type="spellStart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Travmatik</w:t>
      </w:r>
      <w:proofErr w:type="spellEnd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bir olayın ardından yaşanan sorunlar (Travma Sonrası Stres Bozukluğu), DEHAB (Dikkat Eksikliği ve </w:t>
      </w:r>
      <w:proofErr w:type="spellStart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Hiperaktivite</w:t>
      </w:r>
      <w:proofErr w:type="spellEnd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Bozukluğu), Öğrenme Güçlüğü, Çocuklarda Görülen Saldırganlık, Dürtüsellik / </w:t>
      </w:r>
      <w:proofErr w:type="spellStart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Impulsivite</w:t>
      </w:r>
      <w:proofErr w:type="spellEnd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, Okuma ve Konuşma Bozuklukları, Özgüven Sorunları, Sosyal Gelişim Sorunları, Utangaçlık ve İçe Kapanıklık, Psikolojik Ağrılar, Çocukta Baş Ağrısı ve Karın Ağrıları, Boşanma Sonrası Adaptasyon Sorunları, Uyum ve Davranış Bozuklukları vb</w:t>
      </w:r>
      <w:proofErr w:type="gramStart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..</w:t>
      </w:r>
      <w:proofErr w:type="gramEnd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Oyun terapisinde çocuğun gelişim durumlarına bağlı olarak, oyun yoluyla çocuğun kendini ifade etme becerisinin gelişmesi sağlanmaktadır. Bu yüzden çocuklarla çalışacak uzmanlarda oyun </w:t>
      </w:r>
      <w:proofErr w:type="gramStart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terapisi</w:t>
      </w:r>
      <w:proofErr w:type="gramEnd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becerileri önemli bir araçtır. Oyun </w:t>
      </w:r>
      <w:proofErr w:type="gramStart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>terapisinde</w:t>
      </w:r>
      <w:proofErr w:type="gramEnd"/>
      <w:r w:rsidR="00A44BD5" w:rsidRPr="00A44BD5">
        <w:rPr>
          <w:rFonts w:ascii="Verdana" w:eastAsia="Times New Roman" w:hAnsi="Verdana" w:cs="Times New Roman"/>
          <w:color w:val="002060"/>
          <w:sz w:val="20"/>
          <w:szCs w:val="20"/>
        </w:rPr>
        <w:t xml:space="preserve"> çocuklara kendilerini tam olarak ifade etme, kendisinin anlaşılacağı ve kabul edileceği güveni içinde kendini anlatma şansı sunulmaktadır.</w:t>
      </w:r>
    </w:p>
    <w:p w:rsidR="00E17637" w:rsidRDefault="00E17637" w:rsidP="00E176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</w:rPr>
      </w:pPr>
    </w:p>
    <w:p w:rsidR="00A44BD5" w:rsidRPr="00A44BD5" w:rsidRDefault="00A44BD5" w:rsidP="00E176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A44BD5">
        <w:rPr>
          <w:rFonts w:ascii="Verdana" w:eastAsia="Times New Roman" w:hAnsi="Verdana" w:cs="Times New Roman"/>
          <w:b/>
          <w:color w:val="002060"/>
          <w:sz w:val="20"/>
          <w:szCs w:val="20"/>
        </w:rPr>
        <w:t>4 GÜN SÜRDÜ</w:t>
      </w:r>
    </w:p>
    <w:p w:rsidR="0049721B" w:rsidRDefault="00A44BD5" w:rsidP="00E17637">
      <w:pPr>
        <w:spacing w:after="0" w:line="240" w:lineRule="auto"/>
        <w:ind w:firstLine="708"/>
        <w:jc w:val="both"/>
      </w:pPr>
      <w:r w:rsidRPr="00A44BD5">
        <w:rPr>
          <w:rFonts w:ascii="Verdana" w:eastAsia="Times New Roman" w:hAnsi="Verdana" w:cs="Times New Roman"/>
          <w:color w:val="002060"/>
          <w:sz w:val="20"/>
          <w:szCs w:val="20"/>
        </w:rPr>
        <w:t>Eğitim, Efeler Zübeyde Hanım Anaokulu'nda 4 gün sürdü. Dört gün sonunda katılımcı Rehber öğretmenlere sertifika verildi.</w:t>
      </w:r>
      <w:r w:rsidRPr="00E17637">
        <w:rPr>
          <w:rFonts w:ascii="Verdana" w:eastAsia="Times New Roman" w:hAnsi="Verdana" w:cs="Times New Roman"/>
          <w:color w:val="002060"/>
          <w:sz w:val="20"/>
        </w:rPr>
        <w:t> </w:t>
      </w:r>
      <w:r w:rsidRPr="00E17637">
        <w:rPr>
          <w:rFonts w:ascii="Verdana" w:eastAsia="Times New Roman" w:hAnsi="Verdana" w:cs="Times New Roman"/>
          <w:bCs/>
          <w:color w:val="002060"/>
          <w:sz w:val="20"/>
        </w:rPr>
        <w:t>(ATİLA KARPINAR)</w:t>
      </w:r>
    </w:p>
    <w:sectPr w:rsidR="0049721B" w:rsidSect="00A44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4BD5"/>
    <w:rsid w:val="0049721B"/>
    <w:rsid w:val="00A44BD5"/>
    <w:rsid w:val="00E17637"/>
    <w:rsid w:val="00F0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4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44B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VarsaylanParagrafYazTipi"/>
    <w:rsid w:val="00A44BD5"/>
  </w:style>
  <w:style w:type="character" w:customStyle="1" w:styleId="apple-converted-space">
    <w:name w:val="apple-converted-space"/>
    <w:basedOn w:val="VarsaylanParagrafYazTipi"/>
    <w:rsid w:val="00A44BD5"/>
  </w:style>
  <w:style w:type="character" w:styleId="Kpr">
    <w:name w:val="Hyperlink"/>
    <w:basedOn w:val="VarsaylanParagrafYazTipi"/>
    <w:uiPriority w:val="99"/>
    <w:semiHidden/>
    <w:unhideWhenUsed/>
    <w:rsid w:val="00A44B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4BD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802">
          <w:marLeft w:val="0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ydinhedef.com.tr/guncel/01/07/2015/yeni-bir-dil-ogrendik-oyunca-/galeri/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2</cp:revision>
  <dcterms:created xsi:type="dcterms:W3CDTF">2015-07-02T07:09:00Z</dcterms:created>
  <dcterms:modified xsi:type="dcterms:W3CDTF">2015-07-02T07:50:00Z</dcterms:modified>
</cp:coreProperties>
</file>